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00" w:val="clea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bookmarkStart w:colFirst="0" w:colLast="0" w:name="_heading=h.1fob9te" w:id="0"/>
      <w:bookmarkEnd w:id="0"/>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rtl w:val="0"/>
        </w:rPr>
        <w:t xml:space="preserve">RM6299</w:t>
      </w:r>
      <w:r w:rsidDel="00000000" w:rsidR="00000000" w:rsidRPr="00000000">
        <w:rPr>
          <w:rFonts w:ascii="Arial" w:cs="Arial" w:eastAsia="Arial" w:hAnsi="Arial"/>
          <w:sz w:val="24"/>
          <w:szCs w:val="24"/>
          <w:rtl w:val="0"/>
        </w:rPr>
        <w:t xml:space="preserve">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1"/>
      <w:bookmarkEnd w:id="1"/>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22">
      <w:pPr>
        <w:tabs>
          <w:tab w:val="left" w:leader="none" w:pos="2257"/>
        </w:tabs>
        <w:spacing w:after="0" w:line="259" w:lineRule="auto"/>
        <w:ind w:left="2880" w:hanging="288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23">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 not applicable] </w:t>
      </w:r>
    </w:p>
    <w:p w:rsidR="00000000" w:rsidDel="00000000" w:rsidP="00000000" w:rsidRDefault="00000000" w:rsidRPr="00000000" w14:paraId="00000024">
      <w:pPr>
        <w:tabs>
          <w:tab w:val="left" w:leader="none" w:pos="2257"/>
        </w:tabs>
        <w:spacing w:after="0" w:line="259" w:lineRule="auto"/>
        <w:ind w:left="2880" w:hanging="2880"/>
        <w:rPr>
          <w:rFonts w:ascii="Arial" w:cs="Arial" w:eastAsia="Arial" w:hAnsi="Arial"/>
          <w:sz w:val="24"/>
          <w:szCs w:val="24"/>
        </w:rPr>
      </w:pPr>
      <w:r w:rsidDel="00000000" w:rsidR="00000000" w:rsidRPr="00000000">
        <w:rPr>
          <w:rtl w:val="0"/>
        </w:rPr>
      </w:r>
    </w:p>
    <w:tbl>
      <w:tblPr>
        <w:tblStyle w:val="Table1"/>
        <w:tblW w:w="9125.0" w:type="dxa"/>
        <w:jc w:val="left"/>
        <w:tblLayout w:type="fixed"/>
        <w:tblLook w:val="0400"/>
      </w:tblPr>
      <w:tblGrid>
        <w:gridCol w:w="8788"/>
        <w:gridCol w:w="337"/>
        <w:tblGridChange w:id="0">
          <w:tblGrid>
            <w:gridCol w:w="8788"/>
            <w:gridCol w:w="337"/>
          </w:tblGrid>
        </w:tblGridChange>
      </w:tblGrid>
      <w:tr>
        <w:trPr>
          <w:cantSplit w:val="0"/>
          <w:trHeight w:val="362" w:hRule="atLeast"/>
          <w:tblHeader w:val="0"/>
        </w:trPr>
        <w:tc>
          <w:tcPr>
            <w:tcBorders>
              <w:top w:color="95b3d7" w:space="0" w:sz="4" w:val="single"/>
              <w:left w:color="000000" w:space="0" w:sz="4" w:val="single"/>
              <w:bottom w:color="95b3d7" w:space="0" w:sz="4" w:val="single"/>
              <w:right w:color="95b3d7" w:space="0" w:sz="4" w:val="single"/>
            </w:tcBorders>
          </w:tcPr>
          <w:p w:rsidR="00000000" w:rsidDel="00000000" w:rsidP="00000000" w:rsidRDefault="00000000" w:rsidRPr="00000000" w14:paraId="00000025">
            <w:pPr>
              <w:spacing w:after="0" w:line="240" w:lineRule="auto"/>
              <w:rPr>
                <w:rFonts w:ascii="Times New Roman" w:cs="Times New Roman" w:eastAsia="Times New Roman" w:hAnsi="Times New Roman"/>
                <w:sz w:val="24"/>
                <w:szCs w:val="24"/>
              </w:rPr>
            </w:pPr>
            <w:bookmarkStart w:colFirst="0" w:colLast="0" w:name="_heading=h.gjdgxs" w:id="2"/>
            <w:bookmarkEnd w:id="2"/>
            <w:r w:rsidDel="00000000" w:rsidR="00000000" w:rsidRPr="00000000">
              <w:rPr>
                <w:rFonts w:ascii="Arial" w:cs="Arial" w:eastAsia="Arial" w:hAnsi="Arial"/>
                <w:color w:val="000000"/>
                <w:sz w:val="24"/>
                <w:szCs w:val="24"/>
                <w:rtl w:val="0"/>
              </w:rPr>
              <w:t xml:space="preserve">Lot 1 – Office Stationery and Electronic Office Supplies (EOS) Multi Supplier Lot</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Pr>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tl w:val="0"/>
              </w:rPr>
            </w:r>
          </w:p>
        </w:tc>
      </w:tr>
      <w:tr>
        <w:trPr>
          <w:cantSplit w:val="0"/>
          <w:trHeight w:val="286" w:hRule="atLeast"/>
          <w:tblHeader w:val="0"/>
        </w:trPr>
        <w:tc>
          <w:tcPr>
            <w:tcBorders>
              <w:top w:color="95b3d7" w:space="0" w:sz="4" w:val="single"/>
              <w:left w:color="000000" w:space="0" w:sz="4" w:val="single"/>
              <w:bottom w:color="95b3d7" w:space="0" w:sz="4" w:val="single"/>
              <w:right w:color="95b3d7" w:space="0" w:sz="4" w:val="single"/>
            </w:tcBorders>
          </w:tcPr>
          <w:p w:rsidR="00000000" w:rsidDel="00000000" w:rsidP="00000000" w:rsidRDefault="00000000" w:rsidRPr="00000000" w14:paraId="00000027">
            <w:pPr>
              <w:spacing w:after="0" w:line="240" w:lineRule="auto"/>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Lot 2 – Electronic Office Supplies (EOS) Multi Supplier Lot </w:t>
            </w:r>
            <w:r w:rsidDel="00000000" w:rsidR="00000000" w:rsidRPr="00000000">
              <w:rPr>
                <w:rtl w:val="0"/>
              </w:rPr>
            </w:r>
          </w:p>
        </w:tc>
        <w:tc>
          <w:tcPr>
            <w:tcBorders>
              <w:top w:color="95b3d7" w:space="0" w:sz="4" w:val="single"/>
              <w:left w:color="95b3d7" w:space="0" w:sz="4" w:val="single"/>
              <w:bottom w:color="95b3d7" w:space="0" w:sz="4" w:val="single"/>
              <w:right w:color="000000" w:space="0" w:sz="4" w:val="single"/>
            </w:tcBorders>
          </w:tcPr>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29">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B">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RM6299</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framework reference number]</w:t>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F">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rtl w:val="0"/>
        </w:rPr>
        <w:t xml:space="preserve">RM6299</w:t>
      </w:r>
      <w:r w:rsidDel="00000000" w:rsidR="00000000" w:rsidRPr="00000000">
        <w:rPr>
          <w:rFonts w:ascii="Arial" w:cs="Arial" w:eastAsia="Arial" w:hAnsi="Arial"/>
          <w:color w:val="000000"/>
          <w:sz w:val="24"/>
          <w:szCs w:val="24"/>
          <w:rtl w:val="0"/>
        </w:rPr>
        <w:t xml:space="preserve"> framework reference number]</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hd w:fill="ffff00" w:val="clear"/>
        <w:spacing w:after="0" w:line="259" w:lineRule="auto"/>
        <w:ind w:left="1920" w:hanging="360"/>
        <w:rPr>
          <w:rFonts w:ascii="Arial" w:cs="Arial" w:eastAsia="Arial" w:hAnsi="Arial"/>
          <w:color w:val="000000"/>
          <w:sz w:val="24"/>
          <w:szCs w:val="24"/>
        </w:rPr>
      </w:pPr>
      <w:sdt>
        <w:sdtPr>
          <w:tag w:val="goog_rdk_0"/>
        </w:sdtPr>
        <w:sdtContent>
          <w:commentRangeStart w:id="0"/>
        </w:sdtContent>
      </w:sdt>
      <w:r w:rsidDel="00000000" w:rsidR="00000000" w:rsidRPr="00000000">
        <w:rPr>
          <w:rFonts w:ascii="Arial" w:cs="Arial" w:eastAsia="Arial" w:hAnsi="Arial"/>
          <w:color w:val="000000"/>
          <w:sz w:val="24"/>
          <w:szCs w:val="24"/>
          <w:rtl w:val="0"/>
        </w:rPr>
        <w:t xml:space="preserve">Joint Schedule 2 (Variation Form) </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hd w:fill="ffff00" w:val="clear"/>
        <w:spacing w:after="0" w:line="259" w:lineRule="auto"/>
        <w:ind w:left="1920" w:hanging="360"/>
        <w:rPr>
          <w:rFonts w:ascii="Arial" w:cs="Arial" w:eastAsia="Arial" w:hAnsi="Arial"/>
          <w:color w:val="000000"/>
          <w:sz w:val="24"/>
          <w:szCs w:val="24"/>
        </w:rPr>
      </w:pPr>
      <w:sdt>
        <w:sdtPr>
          <w:tag w:val="goog_rdk_1"/>
        </w:sdtPr>
        <w:sdtContent>
          <w:commentRangeStart w:id="1"/>
        </w:sdtContent>
      </w:sdt>
      <w:r w:rsidDel="00000000" w:rsidR="00000000" w:rsidRPr="00000000">
        <w:rPr>
          <w:rFonts w:ascii="Arial" w:cs="Arial" w:eastAsia="Arial" w:hAnsi="Arial"/>
          <w:color w:val="000000"/>
          <w:sz w:val="24"/>
          <w:szCs w:val="24"/>
          <w:rtl w:val="0"/>
        </w:rPr>
        <w:t xml:space="preserve">Joint Schedule 3 (Insurance Requirements)</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hd w:fill="ffff00" w:val="clear"/>
        <w:spacing w:after="0" w:line="259" w:lineRule="auto"/>
        <w:ind w:left="1920" w:hanging="360"/>
        <w:rPr>
          <w:rFonts w:ascii="Arial" w:cs="Arial" w:eastAsia="Arial" w:hAnsi="Arial"/>
          <w:color w:val="000000"/>
          <w:sz w:val="24"/>
          <w:szCs w:val="24"/>
        </w:rPr>
      </w:pPr>
      <w:sdt>
        <w:sdtPr>
          <w:tag w:val="goog_rdk_2"/>
        </w:sdtPr>
        <w:sdtContent>
          <w:commentRangeStart w:id="2"/>
        </w:sdtContent>
      </w:sdt>
      <w:r w:rsidDel="00000000" w:rsidR="00000000" w:rsidRPr="00000000">
        <w:rPr>
          <w:rFonts w:ascii="Arial" w:cs="Arial" w:eastAsia="Arial" w:hAnsi="Arial"/>
          <w:color w:val="000000"/>
          <w:sz w:val="24"/>
          <w:szCs w:val="24"/>
          <w:rtl w:val="0"/>
        </w:rPr>
        <w:t xml:space="preserve">Joint Schedule 4 (Commercially Sensitive Information)</w:t>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hd w:fill="ffff00" w:val="clear"/>
        <w:spacing w:after="0" w:line="259" w:lineRule="auto"/>
        <w:ind w:left="1920" w:hanging="360"/>
        <w:rPr>
          <w:rFonts w:ascii="Arial" w:cs="Arial" w:eastAsia="Arial" w:hAnsi="Arial"/>
          <w:color w:val="000000"/>
          <w:sz w:val="24"/>
          <w:szCs w:val="24"/>
        </w:rPr>
      </w:pPr>
      <w:sdt>
        <w:sdtPr>
          <w:tag w:val="goog_rdk_3"/>
        </w:sdtPr>
        <w:sdtContent>
          <w:commentRangeStart w:id="3"/>
        </w:sdtContent>
      </w:sdt>
      <w:r w:rsidDel="00000000" w:rsidR="00000000" w:rsidRPr="00000000">
        <w:rPr>
          <w:rFonts w:ascii="Arial" w:cs="Arial" w:eastAsia="Arial" w:hAnsi="Arial"/>
          <w:color w:val="000000"/>
          <w:sz w:val="24"/>
          <w:szCs w:val="24"/>
          <w:rtl w:val="0"/>
        </w:rPr>
        <w:t xml:space="preserve">Joint Schedule 11 (Processing Data)</w:t>
        <w:tab/>
      </w:r>
      <w:commentRangeEnd w:id="3"/>
      <w:r w:rsidDel="00000000" w:rsidR="00000000" w:rsidRPr="00000000">
        <w:commentReference w:id="3"/>
      </w:r>
      <w:r w:rsidDel="00000000" w:rsidR="00000000" w:rsidRPr="00000000">
        <w:rPr>
          <w:rtl w:val="0"/>
        </w:rPr>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hd w:fill="ffff00" w:val="clear"/>
        <w:spacing w:after="0" w:line="259" w:lineRule="auto"/>
        <w:ind w:left="19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r>
      <w:r w:rsidDel="00000000" w:rsidR="00000000" w:rsidRPr="00000000">
        <w:rPr>
          <w:rtl w:val="0"/>
        </w:rPr>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hd w:fill="ffff00" w:val="clear"/>
        <w:spacing w:after="0" w:line="259" w:lineRule="auto"/>
        <w:ind w:left="19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13</w:t>
      </w:r>
      <w:r w:rsidDel="00000000" w:rsidR="00000000" w:rsidRPr="00000000">
        <w:rPr>
          <w:rFonts w:ascii="Arial" w:cs="Arial" w:eastAsia="Arial" w:hAnsi="Arial"/>
          <w:color w:val="000000"/>
          <w:sz w:val="24"/>
          <w:szCs w:val="24"/>
          <w:rtl w:val="0"/>
        </w:rPr>
        <w:t xml:space="preserve"> (Continuous Improvement)</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hd w:fill="ffff00" w:val="clear"/>
        <w:spacing w:after="0" w:line="259" w:lineRule="auto"/>
        <w:ind w:left="19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14 (Benchmarking)</w:t>
        <w:tab/>
        <w:tab/>
        <w:tab/>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rtl w:val="0"/>
        </w:rPr>
        <w:t xml:space="preserve">RM6299 </w:t>
      </w:r>
      <w:r w:rsidDel="00000000" w:rsidR="00000000" w:rsidRPr="00000000">
        <w:rPr>
          <w:rFonts w:ascii="Arial" w:cs="Arial" w:eastAsia="Arial" w:hAnsi="Arial"/>
          <w:color w:val="000000"/>
          <w:sz w:val="24"/>
          <w:szCs w:val="24"/>
          <w:rtl w:val="0"/>
        </w:rPr>
        <w:t xml:space="preserve">Call-Off reference number</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tab/>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hd w:fill="ffff00" w:val="clear"/>
        <w:spacing w:after="0" w:line="259" w:lineRule="auto"/>
        <w:ind w:left="1920" w:hanging="360"/>
        <w:rPr>
          <w:rFonts w:ascii="Arial" w:cs="Arial" w:eastAsia="Arial" w:hAnsi="Arial"/>
          <w:color w:val="000000"/>
          <w:sz w:val="24"/>
          <w:szCs w:val="24"/>
        </w:rPr>
      </w:pPr>
      <w:sdt>
        <w:sdtPr>
          <w:tag w:val="goog_rdk_4"/>
        </w:sdtPr>
        <w:sdtContent>
          <w:commentRangeStart w:id="4"/>
        </w:sdtContent>
      </w:sdt>
      <w:r w:rsidDel="00000000" w:rsidR="00000000" w:rsidRPr="00000000">
        <w:rPr>
          <w:rFonts w:ascii="Arial" w:cs="Arial" w:eastAsia="Arial" w:hAnsi="Arial"/>
          <w:color w:val="000000"/>
          <w:sz w:val="24"/>
          <w:szCs w:val="24"/>
          <w:rtl w:val="0"/>
        </w:rPr>
        <w:t xml:space="preserve">Call-Off Schedule 2 (Staff Transfer)</w:t>
      </w: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hd w:fill="ffff00" w:val="clear"/>
        <w:spacing w:after="0" w:line="259" w:lineRule="auto"/>
        <w:ind w:left="1920" w:hanging="360"/>
        <w:rPr>
          <w:rFonts w:ascii="Arial" w:cs="Arial" w:eastAsia="Arial" w:hAnsi="Arial"/>
          <w:color w:val="000000"/>
          <w:sz w:val="24"/>
          <w:szCs w:val="24"/>
        </w:rPr>
      </w:pPr>
      <w:sdt>
        <w:sdtPr>
          <w:tag w:val="goog_rdk_5"/>
        </w:sdtPr>
        <w:sdtContent>
          <w:commentRangeStart w:id="5"/>
        </w:sdtContent>
      </w:sdt>
      <w:r w:rsidDel="00000000" w:rsidR="00000000" w:rsidRPr="00000000">
        <w:rPr>
          <w:rFonts w:ascii="Arial" w:cs="Arial" w:eastAsia="Arial" w:hAnsi="Arial"/>
          <w:color w:val="000000"/>
          <w:sz w:val="24"/>
          <w:szCs w:val="24"/>
          <w:rtl w:val="0"/>
        </w:rPr>
        <w:t xml:space="preserve">Call-Off Schedule 3 (Continuous Improvement)</w:t>
      </w:r>
      <w:commentRangeEnd w:id="5"/>
      <w:r w:rsidDel="00000000" w:rsidR="00000000" w:rsidRPr="00000000">
        <w:commentReference w:id="5"/>
      </w:r>
      <w:r w:rsidDel="00000000" w:rsidR="00000000" w:rsidRPr="00000000">
        <w:rPr>
          <w:rtl w:val="0"/>
        </w:rPr>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sdt>
        <w:sdtPr>
          <w:tag w:val="goog_rdk_6"/>
        </w:sdtPr>
        <w:sdtContent>
          <w:commentRangeStart w:id="6"/>
        </w:sdtContent>
      </w:sdt>
      <w:r w:rsidDel="00000000" w:rsidR="00000000" w:rsidRPr="00000000">
        <w:rPr>
          <w:rFonts w:ascii="Arial" w:cs="Arial" w:eastAsia="Arial" w:hAnsi="Arial"/>
          <w:color w:val="000000"/>
          <w:sz w:val="24"/>
          <w:szCs w:val="24"/>
          <w:rtl w:val="0"/>
        </w:rPr>
        <w:t xml:space="preserve">[Call-Off Schedule 22 (Lease Terms)</w:t>
      </w:r>
      <w:commentRangeEnd w:id="6"/>
      <w:r w:rsidDel="00000000" w:rsidR="00000000" w:rsidRPr="00000000">
        <w:commentReference w:id="6"/>
      </w:r>
      <w:r w:rsidDel="00000000" w:rsidR="00000000" w:rsidRPr="00000000">
        <w:rPr>
          <w:rFonts w:ascii="Arial" w:cs="Arial" w:eastAsia="Arial" w:hAnsi="Arial"/>
          <w:color w:val="000000"/>
          <w:sz w:val="24"/>
          <w:szCs w:val="24"/>
          <w:rtl w:val="0"/>
        </w:rPr>
        <w:tab/>
        <w:tab/>
        <w:tab/>
        <w:tab/>
      </w:r>
      <w:r w:rsidDel="00000000" w:rsidR="00000000" w:rsidRPr="00000000">
        <w:rPr>
          <w:rtl w:val="0"/>
        </w:rPr>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spacing w:after="0" w:line="259" w:lineRule="auto"/>
        <w:ind w:left="19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 </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0" w:line="259"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F">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60">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rtl w:val="0"/>
        </w:rPr>
        <w:t xml:space="preserve">RM6299</w:t>
      </w:r>
    </w:p>
    <w:p w:rsidR="00000000" w:rsidDel="00000000" w:rsidP="00000000" w:rsidRDefault="00000000" w:rsidRPr="00000000" w14:paraId="00000061">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6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6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6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6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3"/>
      <w:bookmarkEnd w:id="3"/>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6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6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6A">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6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C">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7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7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76">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7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7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84">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85">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86">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8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B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B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C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C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C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C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C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B">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C">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F">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D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D1">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D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D3">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D4">
      <w:pPr>
        <w:spacing w:after="240" w:lineRule="auto"/>
        <w:jc w:val="both"/>
        <w:rPr>
          <w:rFonts w:ascii="Arial" w:cs="Arial" w:eastAsia="Arial" w:hAnsi="Arial"/>
          <w:sz w:val="24"/>
          <w:szCs w:val="24"/>
        </w:rPr>
      </w:pPr>
      <w:r w:rsidDel="00000000" w:rsidR="00000000" w:rsidRPr="00000000">
        <w:rPr>
          <w:rtl w:val="0"/>
        </w:rPr>
      </w:r>
    </w:p>
    <w:tbl>
      <w:tblPr>
        <w:tblStyle w:val="Table2"/>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5">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9">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EA">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EB">
      <w:pPr>
        <w:rPr>
          <w:rFonts w:ascii="Arial" w:cs="Arial" w:eastAsia="Arial" w:hAnsi="Arial"/>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276" w:top="1276" w:left="1440" w:right="1440" w:header="709" w:footer="709"/>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Serene Lazuli" w:id="6" w:date="2023-11-23T11:17:10Z">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believe this should be set to optional not mandatory.</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don’t think you’d have any Leasing under your agreement from my understanding so this can always be removed if needed.</w:t>
      </w:r>
    </w:p>
  </w:comment>
  <w:comment w:author="Serene Lazuli" w:id="2" w:date="2023-11-23T11:16:08Z">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Required for formally highlighting and agreeing what elements of the Contract are commercially sensitive and as such need to be considered by the Buyer for exclusion from any transparency requirements they might have as a public sector body</w:t>
      </w:r>
    </w:p>
  </w:comment>
  <w:comment w:author="Serene Lazuli" w:id="0" w:date="2023-11-23T11:15:41Z">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Variation Form is a fundamental part of any Contract to allow the Contract to work where any variation might take place. This should be mandatory as any contract may have a variation even if it’s just something such as a novation</w:t>
      </w:r>
    </w:p>
  </w:comment>
  <w:comment w:author="Serene Lazuli" w:id="3" w:date="2023-11-23T11:16:21Z">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GDPR Schedule, this is required and should be set as mandatory rather than optional.</w:t>
      </w:r>
    </w:p>
  </w:comment>
  <w:comment w:author="Serene Lazuli" w:id="4" w:date="2023-11-23T11:16:35Z">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would normally recommend this remains mandatory just for general safety of Buyers, they can if needed just use, I believe, Part E only to cover off the occasion like you have experienced with Banner and TUPE.</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such I’d suggest it gets unhighlighted</w:t>
      </w:r>
    </w:p>
  </w:comment>
  <w:comment w:author="Serene Lazuli" w:id="5" w:date="2023-11-23T11:16:55Z">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can see why you’ve made this one optional since there is perhaps very limited CI that can be done for many short term Contracts. If happy with this being optional it can remain as optional. Just remember to also add the brackets for optional schedules</w:t>
      </w:r>
    </w:p>
  </w:comment>
  <w:comment w:author="Serene Lazuli" w:id="1" w:date="2023-11-23T11:15:55Z">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Mandatory as this contains the insurances the Supplier should hold and provisions around this.</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F9" w15:done="0"/>
  <w15:commentEx w15:paraId="000000FA" w15:done="0"/>
  <w15:commentEx w15:paraId="000000FB" w15:done="0"/>
  <w15:commentEx w15:paraId="000000FC" w15:done="0"/>
  <w15:commentEx w15:paraId="000000FF" w15:done="0"/>
  <w15:commentEx w15:paraId="00000100" w15:done="0"/>
  <w15:commentEx w15:paraId="00000101"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F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RM6299</w:t>
      <w:tab/>
      <w:t xml:space="preserve">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92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pDlEdFVtgo6y3EVCtFIhT+QmAg==">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2023-11-22T14:51:00Z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